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87" w:rsidRDefault="00275287" w:rsidP="00EE5C8C">
      <w:pPr>
        <w:pStyle w:val="Normaalweb"/>
      </w:pPr>
      <w:r>
        <w:rPr>
          <w:rFonts w:ascii="ArialMT" w:hAnsi="ArialMT"/>
          <w:sz w:val="20"/>
          <w:szCs w:val="20"/>
        </w:rPr>
        <w:t xml:space="preserve">ALGEMENE VOORWAARDEN MLH ADVOCATEN EN MEDIATORS 2022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MLH Advocaten en Mediators is een kostenmaatschap van 2 besloten vennootschappen. De deelnemers aan deze kostenmaatschap zijn: Advocatenkantoor Van Leur en Harent BV en Mook advocaten BV. De twee deelnemers voeren voor eigen rekening en risico praktijk. De kostenmaatschap en het samenwerkingsverband zijn geen vennootschap als omschreven in Boek 2, titel 5 van het Burgerlijk Wetboek. Deze voorwaarden zijn van toepassing op alle opdrachten en aanvullende en vervolgopdrachten van cliënten aan individuele deelnemers van de kostenmaatschap onder de naam MLH Advocaten en Mediators. </w:t>
      </w:r>
      <w:r w:rsidR="00A56EF1">
        <w:rPr>
          <w:rFonts w:ascii="ArialMT" w:hAnsi="ArialMT"/>
          <w:sz w:val="20"/>
          <w:szCs w:val="20"/>
        </w:rPr>
        <w:t>Daar waar onderstaand MLH Advocaten en Mediators wordt gebruikt geldt hetzelfde voor Van Leur en Harent B.V. en Mook Advocaten B.V.</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In het navolgende zal iedere deelnemer in het samenwerkingsverband worden aangeduid met "MLH Advocaten en Mediators" en zal de opdrachtgever worden aangeduid met "cliënt".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MLH Advocaten en Mediators zal zich inspannen het door opdrachtgever gewenste resultaat te bereiken, maar garandeert nimmer dat dit resultaat wordt bereikt. MLH Advocaten en mediators zal bij de uitvoering van de werkzaamheden handelen op de wijze die van een redelijk bekwaam en redelijk handelend advocaat mag worden verwacht, met inachtneming van de gedragsregels voor advocaten en de verordeningen en richtlijnen van de Nederlandse Orde van Advocaten.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Bij het secretariaat ten kantore te Dordrecht ligt een lijst van de aandeelhouders van de deelnemende besloten vennootschappen ter inzage en deze lijst wordt op verzoek toegezonden.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Deze algemene voorwaarden zijn van toepassing op alle opdrachten die cliënten aan MLH Advocaten en Mediators verstrekken. De algemene voorwaarden zijn ook van toepassing op de eventuele aanvullende opdrachten en vervolgopdrachten van cliënten.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Deze algemene voorwaarden worden mede bedongen ten behoeve van iedere derde, die al dan niet in dienstverband, bij de uitvoering van enige opdracht wordt ingeschakeld of in verband daarmee aansprakelijk is of kan zijn. Zowel de (ex) deelnemers van MLH Advocaten en Mediators, haar bestuurders, alsook individuele personen die werkzaam zijn of waren bij MLH Advocaten en Mediators, kunnen zich derhalve op deze algemene voorwaarden beroepen, alsmede alle personen die bij de uitvoering van enige opdracht van een cliënt zijn ingeschakeld. De uitvoering van alle opdrachten geschiedt uitsluitend ten behoeve van opdrachtgever. MLH Advocaten en Mediators is nimmer verplicht een opdracht aan te nemen. Derden kunnen aan de inhoud van de door MLH Advocaten en Mediators verrichte werkzaamheden geen rechten ontlenen. Opdrachtgever vrijwaart MLH Advocaten en Mediators tegen vorderingen van derden die stellen schade te hebben geleden door of verband houdende met de door MLH Advocaten en Mediators ten behoeve van opdrachtgever verrichte werkzaamheden.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Alle opdrachten worden geacht uitsluitend te zijn gegeven aan en aanvaard door de individuele deelnemer aan het samenwerkingsverband die de opdracht ontvangt en aanvaardt. Hetgeen is omschreven in de vorige volzin is ook het geval indien het de uitdrukkelijke of stilzwijgende bedoeling is dat een opdracht door een bepaalde persoon zal worden uitgevoerd. De werking van artikel 7:404 Burgerlijk Wetboek (''BW''), dat voor het laatstgenoemde geval een regeling geeft, en de werking van artikel 7:407 lid 2 BW, dat een hoofdelijke aansprakelijkheid vestigt in het geval waarin twee of meer personen een opdracht hebben ontvangen, wordt volledig uitgesloten.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In verband met de uitvoering van de opdrachten is de cliënt het met de behandelend advocaat afgesproken honorarium verschuldigd, vermeerderd met </w:t>
      </w:r>
      <w:proofErr w:type="gramStart"/>
      <w:r>
        <w:rPr>
          <w:rFonts w:ascii="ArialMT" w:hAnsi="ArialMT"/>
          <w:sz w:val="20"/>
          <w:szCs w:val="20"/>
        </w:rPr>
        <w:t>BTW</w:t>
      </w:r>
      <w:proofErr w:type="gramEnd"/>
      <w:r>
        <w:rPr>
          <w:rFonts w:ascii="ArialMT" w:hAnsi="ArialMT"/>
          <w:sz w:val="20"/>
          <w:szCs w:val="20"/>
        </w:rPr>
        <w:t xml:space="preserve"> (omzetbelasting). MLH Advocaten en Mediators declareert in de regel na het verbruiken van de voorschotnota. Klachten over een declaratie dienen op straffe van verval te zijn ingediend binnen 14 dagen na de declaratiedatum.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Facturen verzonden aan opdrachtgevers door MLH Advocaten en Mediators</w:t>
      </w:r>
      <w:bookmarkStart w:id="0" w:name="_GoBack"/>
      <w:bookmarkEnd w:id="0"/>
      <w:r>
        <w:rPr>
          <w:rFonts w:ascii="ArialMT" w:hAnsi="ArialMT"/>
          <w:sz w:val="20"/>
          <w:szCs w:val="20"/>
        </w:rPr>
        <w:t xml:space="preserve"> dienen binnen 14 dagen na factuurdatum te zijn voldaan. Los van de mogelijkheid tot opschorting, zoals in onderhavige algemene voorwaarden geregeld, zullen, ondanks herhaalde aanmaningen niet betaalde facturen, ter incasso uit handen worden gegeven aan een incassobureau. De hieraan verbonden kosten zijn voor rekening van opdrachtgever. </w:t>
      </w:r>
    </w:p>
    <w:p w:rsidR="00275287" w:rsidRDefault="00275287" w:rsidP="00EE5C8C">
      <w:pPr>
        <w:pStyle w:val="Normaalweb"/>
        <w:numPr>
          <w:ilvl w:val="0"/>
          <w:numId w:val="1"/>
        </w:numPr>
        <w:rPr>
          <w:rFonts w:ascii="ArialMT" w:hAnsi="ArialMT"/>
          <w:sz w:val="20"/>
          <w:szCs w:val="20"/>
        </w:rPr>
      </w:pPr>
      <w:r>
        <w:rPr>
          <w:rFonts w:ascii="ArialMT" w:hAnsi="ArialMT"/>
          <w:sz w:val="20"/>
          <w:szCs w:val="20"/>
        </w:rPr>
        <w:t xml:space="preserve">Indien een declaratie, ondanks herhaalde aanmaningen, niet wordt voldaan, kan de advocaat zijn werkzaamheden opschorten, nadat de cliënt daarvan schriftelijk op de hoogte is gesteld. MLH Advocaten en Mediators is niet aansprakelijk voor schade die mocht ontstaan als gevolg van opschorting van de werkzaamheden op deze grond.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Indien zich bij de uitvoering van een opdracht onverhoopt een gebeurtenis - waaronder ook een nalaten begrepen wordt - voordoet, die tot aansprakelijkheid leidt, zal die aansprakelijkheid beperkt zijn tot het bedrag of de bedragen waarop de door MLH Advocaten en Mediators gesloten beroepsaansprakelijkheidsverzekering aanspraak geeft, vermeerderd met het eigen risico dat MLH Advocaten en Mediators onder die beroepsaansprakelijkheidsverzekering draagt. Indien door of in verband met de uitvoering van een opdracht of anderszins schade aan personen of zaken wordt </w:t>
      </w:r>
      <w:r>
        <w:rPr>
          <w:rFonts w:ascii="ArialMT" w:hAnsi="ArialMT"/>
          <w:sz w:val="20"/>
          <w:szCs w:val="20"/>
        </w:rPr>
        <w:lastRenderedPageBreak/>
        <w:t xml:space="preserve">toegebracht, waarvoor MLH Advocaten en Mediators aansprakelijkheid draagt, zal die aansprakelijkheid beperkt zijn tot het bedrag of de bedragen, waarop de door MLH Advocaten en Mediators gesloten algemene aansprakelijkheidsverzekering (AVB) aanspraak geeft, vermeerderd met het eigen risico onder die algemene aansprakelijkheidsverzekering (AVB).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Voor zover personen die in verband met de uitvoering van opdrachten van cliënten worden ingeschakeld, hun aansprakelijkheid in verband daarmee willen beperken, houden alle aan MLH Advocaten en Mediators gegeven opdrachten de bevoegdheid in om dergelijke aansprakelijkheidsbeperkingen mede namens die cliënten te aanvaarden. Iedere eigen aansprakelijkheid van MLH Advocaten en Mediators voor onverhoopte tekortkomingen van deze ingeschakelde personen is uitgesloten.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De onder artikel 10 opgenomen aansprakelijkheidsbeperking geldt ook voor het geval dat ten onrechte een opdracht geweigerd mocht zijn en daaruit schade mocht voortvloeien.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Verstrekte opdrachten worden door MLH Advocaten en Mediators uitsluitend uitgevoerd ten behoeve van de opdrachtgever. Derden kunnen aan de inhoud van de verrichte werkzaamheden, en meer in het algemeen aan de wijze waarop aan die verstrekte opdrachten al dan niet uitvoering is gegeven, geen rechten ontlenen.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Op de rechtsverhouding tussen MLH Advocaten en Mediatorsen haar cliënten is Nederlands recht van toepassing. Alleen de Nederlandse rechter is bevoegd van enig geschil tussen MLH Advocaten en Mediatorsen een cliënt kennis te nemen.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Niet alleen MLH Advocaten en Mediators, maar ook alle personen die bij de uitvoering van enige opdracht van een cliënt zijn ingeschakeld, kunnen op deze Algemene Voorwaarden een beroep doen, ook indien zij aansprakelijk mochten worden gehouden nadat zij het kantoor van MLH Advocaten en Mediators hebben verlaten.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De bewaartermijn van dossiers en stukken is 5 jaar. Na het verstrijken van die termijn zullen dossiers worden vernietigd. Indien opdrachtgevers binnen de vijfjaarstermijn bescheiden uit hun dossier wensen te ontvangen, hoewel dit dossier niet langer gearchiveerd is op het kantoor van MLH Advocaten en Mediators, te Dordrecht, worden de daadwerkelijk in dat verband gemaakte kosten, ten einde de desbetreffende bescheiden aan de opdrachtgever te kunnen verstrekken, aan de opdrachtgever doorberekend.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MLH Advocaten en Mediators maakt voor de verzending van stukken onder andere gebruik van PostNL en e-mail. MLH Advocaten en Mediators is niet aansprakelijk voor fouten van deze middelen/derden en stukken worden geacht te zijn verzonden en ontvangen op basis van de gegevens in het dossier. De opdrachtgever mag naar wens ook de stukken ten kantore van MLH Advocaten en Mediators ophalen en zelf verzenden. </w:t>
      </w:r>
    </w:p>
    <w:p w:rsidR="00275287" w:rsidRDefault="00275287" w:rsidP="00EE5C8C">
      <w:pPr>
        <w:pStyle w:val="Normaalweb"/>
        <w:numPr>
          <w:ilvl w:val="0"/>
          <w:numId w:val="2"/>
        </w:numPr>
        <w:rPr>
          <w:rFonts w:ascii="ArialMT" w:hAnsi="ArialMT"/>
          <w:sz w:val="20"/>
          <w:szCs w:val="20"/>
        </w:rPr>
      </w:pPr>
      <w:r>
        <w:rPr>
          <w:rFonts w:ascii="ArialMT" w:hAnsi="ArialMT"/>
          <w:sz w:val="20"/>
          <w:szCs w:val="20"/>
        </w:rPr>
        <w:t xml:space="preserve">Wij kunnen geen derdengelden ontvangen, omdat wij geen stichting derdengelden ter beschikking hebben (zie artikel 7.4 </w:t>
      </w:r>
      <w:r w:rsidR="00356311">
        <w:rPr>
          <w:rFonts w:ascii="ArialMT" w:hAnsi="ArialMT"/>
          <w:sz w:val="20"/>
          <w:szCs w:val="20"/>
        </w:rPr>
        <w:t>Verordening</w:t>
      </w:r>
      <w:r>
        <w:rPr>
          <w:rFonts w:ascii="ArialMT" w:hAnsi="ArialMT"/>
          <w:sz w:val="20"/>
          <w:szCs w:val="20"/>
        </w:rPr>
        <w:t xml:space="preserve"> op de advocatuur). </w:t>
      </w:r>
    </w:p>
    <w:p w:rsidR="00275287" w:rsidRPr="00EE5C8C" w:rsidRDefault="00275287" w:rsidP="00EE5C8C">
      <w:pPr>
        <w:rPr>
          <w:szCs w:val="24"/>
        </w:rPr>
      </w:pPr>
    </w:p>
    <w:sectPr w:rsidR="00275287" w:rsidRPr="00EE5C8C" w:rsidSect="005D463D">
      <w:footerReference w:type="default" r:id="rId7"/>
      <w:pgSz w:w="11906" w:h="16838"/>
      <w:pgMar w:top="1438" w:right="926" w:bottom="1418" w:left="900"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B6" w:rsidRDefault="00B94EB6" w:rsidP="006C4005">
      <w:pPr>
        <w:spacing w:line="240" w:lineRule="auto"/>
      </w:pPr>
      <w:r>
        <w:separator/>
      </w:r>
    </w:p>
  </w:endnote>
  <w:endnote w:type="continuationSeparator" w:id="0">
    <w:p w:rsidR="00B94EB6" w:rsidRDefault="00B94EB6"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87" w:rsidRPr="00163676" w:rsidRDefault="00275287" w:rsidP="00163676">
    <w:pPr>
      <w:pStyle w:val="Voettekst"/>
      <w:framePr w:wrap="around" w:vAnchor="text" w:hAnchor="page" w:x="8071" w:y="157"/>
      <w:rPr>
        <w:rStyle w:val="Paginanummer"/>
        <w:rFonts w:ascii="Times New Roman" w:hAnsi="Times New Roman"/>
        <w:sz w:val="24"/>
        <w:szCs w:val="24"/>
      </w:rPr>
    </w:pPr>
    <w:r w:rsidRPr="00163676">
      <w:rPr>
        <w:rStyle w:val="Paginanummer"/>
        <w:rFonts w:ascii="Times New Roman" w:hAnsi="Times New Roman"/>
        <w:sz w:val="24"/>
        <w:szCs w:val="24"/>
      </w:rPr>
      <w:fldChar w:fldCharType="begin"/>
    </w:r>
    <w:r w:rsidRPr="00163676">
      <w:rPr>
        <w:rStyle w:val="Paginanummer"/>
        <w:rFonts w:ascii="Times New Roman" w:hAnsi="Times New Roman"/>
        <w:sz w:val="24"/>
        <w:szCs w:val="24"/>
      </w:rPr>
      <w:instrText xml:space="preserve">PAGE  </w:instrText>
    </w:r>
    <w:r w:rsidRPr="00163676">
      <w:rPr>
        <w:rStyle w:val="Paginanummer"/>
        <w:rFonts w:ascii="Times New Roman" w:hAnsi="Times New Roman"/>
        <w:sz w:val="24"/>
        <w:szCs w:val="24"/>
      </w:rPr>
      <w:fldChar w:fldCharType="separate"/>
    </w:r>
    <w:r>
      <w:rPr>
        <w:rStyle w:val="Paginanummer"/>
        <w:rFonts w:ascii="Times New Roman" w:hAnsi="Times New Roman"/>
        <w:noProof/>
        <w:sz w:val="24"/>
        <w:szCs w:val="24"/>
      </w:rPr>
      <w:t>2</w:t>
    </w:r>
    <w:r w:rsidRPr="00163676">
      <w:rPr>
        <w:rStyle w:val="Paginanummer"/>
        <w:rFonts w:ascii="Times New Roman" w:hAnsi="Times New Roman"/>
        <w:sz w:val="24"/>
        <w:szCs w:val="24"/>
      </w:rPr>
      <w:fldChar w:fldCharType="end"/>
    </w:r>
  </w:p>
  <w:p w:rsidR="00275287" w:rsidRDefault="00275287" w:rsidP="00163676">
    <w:pPr>
      <w:pStyle w:val="Voettekst"/>
      <w:ind w:right="-856" w:hanging="1980"/>
      <w:jc w:val="center"/>
    </w:pPr>
  </w:p>
  <w:p w:rsidR="00275287" w:rsidRPr="00163676" w:rsidRDefault="00275287" w:rsidP="001636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B6" w:rsidRDefault="00B94EB6" w:rsidP="006C4005">
      <w:pPr>
        <w:spacing w:line="240" w:lineRule="auto"/>
      </w:pPr>
      <w:r>
        <w:separator/>
      </w:r>
    </w:p>
  </w:footnote>
  <w:footnote w:type="continuationSeparator" w:id="0">
    <w:p w:rsidR="00B94EB6" w:rsidRDefault="00B94EB6" w:rsidP="006C40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62A2"/>
    <w:multiLevelType w:val="multilevel"/>
    <w:tmpl w:val="6C7AF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F81087E"/>
    <w:multiLevelType w:val="multilevel"/>
    <w:tmpl w:val="E1F284B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24"/>
    <w:rsid w:val="00006B5C"/>
    <w:rsid w:val="0000783E"/>
    <w:rsid w:val="00016FD1"/>
    <w:rsid w:val="0003766B"/>
    <w:rsid w:val="00044DEC"/>
    <w:rsid w:val="00045707"/>
    <w:rsid w:val="00045D70"/>
    <w:rsid w:val="00074744"/>
    <w:rsid w:val="0009599A"/>
    <w:rsid w:val="000A4D66"/>
    <w:rsid w:val="000A7343"/>
    <w:rsid w:val="000B21C9"/>
    <w:rsid w:val="000D0D98"/>
    <w:rsid w:val="000D11AE"/>
    <w:rsid w:val="000D5789"/>
    <w:rsid w:val="000F3449"/>
    <w:rsid w:val="001259A5"/>
    <w:rsid w:val="0013464A"/>
    <w:rsid w:val="00136DF2"/>
    <w:rsid w:val="00147487"/>
    <w:rsid w:val="00163676"/>
    <w:rsid w:val="001724CF"/>
    <w:rsid w:val="00185401"/>
    <w:rsid w:val="001A0ED6"/>
    <w:rsid w:val="001B5A80"/>
    <w:rsid w:val="001E410B"/>
    <w:rsid w:val="001F3073"/>
    <w:rsid w:val="002016C8"/>
    <w:rsid w:val="0020388C"/>
    <w:rsid w:val="00205EEA"/>
    <w:rsid w:val="00242371"/>
    <w:rsid w:val="00253CE2"/>
    <w:rsid w:val="0025796C"/>
    <w:rsid w:val="00275287"/>
    <w:rsid w:val="00285AD3"/>
    <w:rsid w:val="0029242D"/>
    <w:rsid w:val="00293194"/>
    <w:rsid w:val="002B5610"/>
    <w:rsid w:val="002C1BBD"/>
    <w:rsid w:val="002D4116"/>
    <w:rsid w:val="002D758B"/>
    <w:rsid w:val="002F2D19"/>
    <w:rsid w:val="00304C0C"/>
    <w:rsid w:val="00316D2B"/>
    <w:rsid w:val="003216AD"/>
    <w:rsid w:val="00323C3C"/>
    <w:rsid w:val="00333967"/>
    <w:rsid w:val="00335F24"/>
    <w:rsid w:val="003374D3"/>
    <w:rsid w:val="00356311"/>
    <w:rsid w:val="003606DB"/>
    <w:rsid w:val="00363CBF"/>
    <w:rsid w:val="003675A4"/>
    <w:rsid w:val="00377033"/>
    <w:rsid w:val="003A0FA7"/>
    <w:rsid w:val="003A73F2"/>
    <w:rsid w:val="003C738E"/>
    <w:rsid w:val="003E456F"/>
    <w:rsid w:val="00401A43"/>
    <w:rsid w:val="00440863"/>
    <w:rsid w:val="004466E7"/>
    <w:rsid w:val="00453DB3"/>
    <w:rsid w:val="0047438D"/>
    <w:rsid w:val="00480182"/>
    <w:rsid w:val="004850BE"/>
    <w:rsid w:val="004915C5"/>
    <w:rsid w:val="004A78E2"/>
    <w:rsid w:val="004C327A"/>
    <w:rsid w:val="004C492F"/>
    <w:rsid w:val="004C71E0"/>
    <w:rsid w:val="004E13B3"/>
    <w:rsid w:val="004E5C6C"/>
    <w:rsid w:val="00536D9A"/>
    <w:rsid w:val="005507BF"/>
    <w:rsid w:val="00580C2C"/>
    <w:rsid w:val="005819D6"/>
    <w:rsid w:val="00587102"/>
    <w:rsid w:val="005A5427"/>
    <w:rsid w:val="005A651F"/>
    <w:rsid w:val="005B2C30"/>
    <w:rsid w:val="005C0BE5"/>
    <w:rsid w:val="005D463D"/>
    <w:rsid w:val="005D4DCA"/>
    <w:rsid w:val="005E703C"/>
    <w:rsid w:val="006114A8"/>
    <w:rsid w:val="00622035"/>
    <w:rsid w:val="00626ADA"/>
    <w:rsid w:val="00631F8B"/>
    <w:rsid w:val="006453AB"/>
    <w:rsid w:val="006468D1"/>
    <w:rsid w:val="00686CE7"/>
    <w:rsid w:val="0068718C"/>
    <w:rsid w:val="00696645"/>
    <w:rsid w:val="006B1181"/>
    <w:rsid w:val="006C4005"/>
    <w:rsid w:val="006C61A4"/>
    <w:rsid w:val="006D6441"/>
    <w:rsid w:val="006F0731"/>
    <w:rsid w:val="00712A98"/>
    <w:rsid w:val="00753588"/>
    <w:rsid w:val="00754199"/>
    <w:rsid w:val="007817CA"/>
    <w:rsid w:val="007A06E4"/>
    <w:rsid w:val="007B602E"/>
    <w:rsid w:val="007C5C2D"/>
    <w:rsid w:val="007D4E01"/>
    <w:rsid w:val="00803D72"/>
    <w:rsid w:val="00814A4A"/>
    <w:rsid w:val="00815987"/>
    <w:rsid w:val="008668A2"/>
    <w:rsid w:val="00882D06"/>
    <w:rsid w:val="00883D1F"/>
    <w:rsid w:val="00892BEC"/>
    <w:rsid w:val="00893A18"/>
    <w:rsid w:val="008A0BCC"/>
    <w:rsid w:val="008A25D4"/>
    <w:rsid w:val="008B31C7"/>
    <w:rsid w:val="008C7FB0"/>
    <w:rsid w:val="008F374B"/>
    <w:rsid w:val="00917F27"/>
    <w:rsid w:val="00921E2A"/>
    <w:rsid w:val="00921F47"/>
    <w:rsid w:val="00936659"/>
    <w:rsid w:val="00937494"/>
    <w:rsid w:val="00941DB3"/>
    <w:rsid w:val="00955D63"/>
    <w:rsid w:val="009607D7"/>
    <w:rsid w:val="009647E3"/>
    <w:rsid w:val="00974D05"/>
    <w:rsid w:val="0097506B"/>
    <w:rsid w:val="009824D8"/>
    <w:rsid w:val="00985906"/>
    <w:rsid w:val="00996575"/>
    <w:rsid w:val="009B7AEB"/>
    <w:rsid w:val="009C288E"/>
    <w:rsid w:val="009E40A1"/>
    <w:rsid w:val="009F26C8"/>
    <w:rsid w:val="00A04B3A"/>
    <w:rsid w:val="00A15488"/>
    <w:rsid w:val="00A16AA5"/>
    <w:rsid w:val="00A22CB3"/>
    <w:rsid w:val="00A40708"/>
    <w:rsid w:val="00A5418A"/>
    <w:rsid w:val="00A56EF1"/>
    <w:rsid w:val="00A823CC"/>
    <w:rsid w:val="00A82FAB"/>
    <w:rsid w:val="00AD101D"/>
    <w:rsid w:val="00AE7468"/>
    <w:rsid w:val="00AF3355"/>
    <w:rsid w:val="00AF520B"/>
    <w:rsid w:val="00B213D7"/>
    <w:rsid w:val="00B2199C"/>
    <w:rsid w:val="00B25DE5"/>
    <w:rsid w:val="00B52502"/>
    <w:rsid w:val="00B77B5D"/>
    <w:rsid w:val="00B77F7E"/>
    <w:rsid w:val="00B83074"/>
    <w:rsid w:val="00B92CD4"/>
    <w:rsid w:val="00B94EB6"/>
    <w:rsid w:val="00BA5048"/>
    <w:rsid w:val="00BA7E17"/>
    <w:rsid w:val="00BB2BF9"/>
    <w:rsid w:val="00C0698D"/>
    <w:rsid w:val="00C16329"/>
    <w:rsid w:val="00C21BDE"/>
    <w:rsid w:val="00C278E1"/>
    <w:rsid w:val="00C316B8"/>
    <w:rsid w:val="00C36436"/>
    <w:rsid w:val="00C450F2"/>
    <w:rsid w:val="00C56F1D"/>
    <w:rsid w:val="00C63B32"/>
    <w:rsid w:val="00C67C77"/>
    <w:rsid w:val="00C80B92"/>
    <w:rsid w:val="00CB7D74"/>
    <w:rsid w:val="00CC711B"/>
    <w:rsid w:val="00D36DCA"/>
    <w:rsid w:val="00D45EF5"/>
    <w:rsid w:val="00D47BF4"/>
    <w:rsid w:val="00D64A2C"/>
    <w:rsid w:val="00D70C6C"/>
    <w:rsid w:val="00D7284F"/>
    <w:rsid w:val="00D86F93"/>
    <w:rsid w:val="00D954CA"/>
    <w:rsid w:val="00DC09EC"/>
    <w:rsid w:val="00DC1A5C"/>
    <w:rsid w:val="00DE4BC5"/>
    <w:rsid w:val="00E02CF2"/>
    <w:rsid w:val="00E03117"/>
    <w:rsid w:val="00E11C57"/>
    <w:rsid w:val="00E54C9B"/>
    <w:rsid w:val="00E77E37"/>
    <w:rsid w:val="00EA3F26"/>
    <w:rsid w:val="00EB2742"/>
    <w:rsid w:val="00EB4455"/>
    <w:rsid w:val="00EC68BE"/>
    <w:rsid w:val="00EC74B8"/>
    <w:rsid w:val="00EE3B2F"/>
    <w:rsid w:val="00EE535D"/>
    <w:rsid w:val="00EE5C8C"/>
    <w:rsid w:val="00F25B15"/>
    <w:rsid w:val="00F26A15"/>
    <w:rsid w:val="00F34253"/>
    <w:rsid w:val="00F374DC"/>
    <w:rsid w:val="00F4748D"/>
    <w:rsid w:val="00F5508B"/>
    <w:rsid w:val="00F64DE5"/>
    <w:rsid w:val="00F67AA5"/>
    <w:rsid w:val="00F74F1C"/>
    <w:rsid w:val="00F9280A"/>
    <w:rsid w:val="00FB5225"/>
    <w:rsid w:val="00FB7AA6"/>
    <w:rsid w:val="00FC798E"/>
    <w:rsid w:val="00FE7A0C"/>
    <w:rsid w:val="00FF5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67BC95"/>
  <w15:docId w15:val="{8AE1F0F9-76BB-6C49-98F3-0E79B3A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locked="1" w:semiHidden="1" w:unhideWhenUsed="1"/>
    <w:lsdException w:name="macro" w:uiPriority="0"/>
    <w:lsdException w:name="toa heading" w:semiHidden="1" w:uiPriority="0" w:unhideWhenUsed="1"/>
    <w:lsdException w:name="List" w:locked="1" w:semiHidden="1"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locked="1"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4C9B"/>
    <w:pPr>
      <w:spacing w:line="276" w:lineRule="auto"/>
      <w:jc w:val="both"/>
    </w:pPr>
    <w:rPr>
      <w:rFonts w:ascii="Tahoma" w:hAnsi="Tahoma" w:cs="Times New Roman"/>
      <w:sz w:val="22"/>
      <w:szCs w:val="22"/>
      <w:lang w:eastAsia="en-US"/>
    </w:rPr>
  </w:style>
  <w:style w:type="paragraph" w:styleId="Kop1">
    <w:name w:val="heading 1"/>
    <w:basedOn w:val="Standaard"/>
    <w:link w:val="Kop1Char"/>
    <w:uiPriority w:val="99"/>
    <w:qFormat/>
    <w:rsid w:val="00045D70"/>
    <w:pPr>
      <w:keepNext/>
      <w:keepLines/>
      <w:spacing w:before="480" w:line="240" w:lineRule="auto"/>
      <w:jc w:val="left"/>
      <w:outlineLvl w:val="0"/>
    </w:pPr>
    <w:rPr>
      <w:rFonts w:ascii="Cambria" w:hAnsi="Cambria"/>
      <w:b/>
      <w:bCs/>
      <w:color w:val="365F91"/>
      <w:sz w:val="28"/>
      <w:szCs w:val="28"/>
      <w:lang w:eastAsia="nl-NL"/>
    </w:rPr>
  </w:style>
  <w:style w:type="paragraph" w:styleId="Kop2">
    <w:name w:val="heading 2"/>
    <w:basedOn w:val="Standaard"/>
    <w:link w:val="Kop2Char"/>
    <w:uiPriority w:val="99"/>
    <w:qFormat/>
    <w:rsid w:val="00045D70"/>
    <w:pPr>
      <w:keepNext/>
      <w:keepLines/>
      <w:spacing w:before="200" w:line="240" w:lineRule="auto"/>
      <w:jc w:val="left"/>
      <w:outlineLvl w:val="1"/>
    </w:pPr>
    <w:rPr>
      <w:rFonts w:ascii="Cambria" w:hAnsi="Cambria"/>
      <w:b/>
      <w:bCs/>
      <w:color w:val="4F81BD"/>
      <w:sz w:val="26"/>
      <w:szCs w:val="26"/>
      <w:lang w:eastAsia="nl-NL"/>
    </w:rPr>
  </w:style>
  <w:style w:type="paragraph" w:styleId="Kop3">
    <w:name w:val="heading 3"/>
    <w:basedOn w:val="Standaard"/>
    <w:link w:val="Kop3Char"/>
    <w:uiPriority w:val="99"/>
    <w:qFormat/>
    <w:rsid w:val="00045D70"/>
    <w:pPr>
      <w:keepNext/>
      <w:keepLines/>
      <w:spacing w:before="200" w:line="240" w:lineRule="auto"/>
      <w:jc w:val="left"/>
      <w:outlineLvl w:val="2"/>
    </w:pPr>
    <w:rPr>
      <w:rFonts w:ascii="Cambria" w:hAnsi="Cambria"/>
      <w:b/>
      <w:bCs/>
      <w:color w:val="4F81BD"/>
      <w:lang w:eastAsia="nl-NL"/>
    </w:rPr>
  </w:style>
  <w:style w:type="paragraph" w:styleId="Kop4">
    <w:name w:val="heading 4"/>
    <w:basedOn w:val="Standaard"/>
    <w:link w:val="Kop4Char"/>
    <w:uiPriority w:val="99"/>
    <w:qFormat/>
    <w:rsid w:val="00045D70"/>
    <w:pPr>
      <w:keepNext/>
      <w:keepLines/>
      <w:spacing w:before="200" w:line="240" w:lineRule="auto"/>
      <w:jc w:val="left"/>
      <w:outlineLvl w:val="3"/>
    </w:pPr>
    <w:rPr>
      <w:rFonts w:ascii="Cambria" w:hAnsi="Cambria"/>
      <w:b/>
      <w:bCs/>
      <w:i/>
      <w:iCs/>
      <w:color w:val="4F81BD"/>
      <w:lang w:eastAsia="nl-NL"/>
    </w:rPr>
  </w:style>
  <w:style w:type="paragraph" w:styleId="Kop5">
    <w:name w:val="heading 5"/>
    <w:basedOn w:val="Standaard"/>
    <w:link w:val="Kop5Char"/>
    <w:uiPriority w:val="99"/>
    <w:qFormat/>
    <w:rsid w:val="00045D70"/>
    <w:pPr>
      <w:keepNext/>
      <w:keepLines/>
      <w:spacing w:before="200" w:line="240" w:lineRule="auto"/>
      <w:jc w:val="left"/>
      <w:outlineLvl w:val="4"/>
    </w:pPr>
    <w:rPr>
      <w:rFonts w:ascii="Cambria" w:hAnsi="Cambria"/>
      <w:color w:val="243F60"/>
      <w:lang w:eastAsia="nl-NL"/>
    </w:rPr>
  </w:style>
  <w:style w:type="paragraph" w:styleId="Kop6">
    <w:name w:val="heading 6"/>
    <w:basedOn w:val="Standaard"/>
    <w:link w:val="Kop6Char"/>
    <w:uiPriority w:val="99"/>
    <w:qFormat/>
    <w:rsid w:val="00045D70"/>
    <w:pPr>
      <w:keepNext/>
      <w:keepLines/>
      <w:spacing w:before="200" w:line="240" w:lineRule="auto"/>
      <w:jc w:val="left"/>
      <w:outlineLvl w:val="5"/>
    </w:pPr>
    <w:rPr>
      <w:rFonts w:ascii="Cambria" w:hAnsi="Cambria"/>
      <w:i/>
      <w:iCs/>
      <w:color w:val="243F6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lang w:eastAsia="en-US"/>
    </w:rPr>
  </w:style>
  <w:style w:type="character" w:customStyle="1" w:styleId="Kop2Char">
    <w:name w:val="Kop 2 Char"/>
    <w:link w:val="Kop2"/>
    <w:uiPriority w:val="99"/>
    <w:semiHidden/>
    <w:locked/>
    <w:rPr>
      <w:rFonts w:ascii="Cambria" w:hAnsi="Cambria" w:cs="Times New Roman"/>
      <w:b/>
      <w:bCs/>
      <w:i/>
      <w:iCs/>
      <w:sz w:val="28"/>
      <w:szCs w:val="28"/>
      <w:lang w:eastAsia="en-US"/>
    </w:rPr>
  </w:style>
  <w:style w:type="character" w:customStyle="1" w:styleId="Kop3Char">
    <w:name w:val="Kop 3 Char"/>
    <w:link w:val="Kop3"/>
    <w:uiPriority w:val="99"/>
    <w:semiHidden/>
    <w:locked/>
    <w:rPr>
      <w:rFonts w:ascii="Cambria" w:hAnsi="Cambria" w:cs="Times New Roman"/>
      <w:b/>
      <w:bCs/>
      <w:sz w:val="26"/>
      <w:szCs w:val="26"/>
      <w:lang w:eastAsia="en-US"/>
    </w:rPr>
  </w:style>
  <w:style w:type="character" w:customStyle="1" w:styleId="Kop4Char">
    <w:name w:val="Kop 4 Char"/>
    <w:link w:val="Kop4"/>
    <w:uiPriority w:val="99"/>
    <w:semiHidden/>
    <w:locked/>
    <w:rPr>
      <w:rFonts w:ascii="Calibri" w:hAnsi="Calibri" w:cs="Times New Roman"/>
      <w:b/>
      <w:bCs/>
      <w:sz w:val="28"/>
      <w:szCs w:val="28"/>
      <w:lang w:eastAsia="en-US"/>
    </w:rPr>
  </w:style>
  <w:style w:type="character" w:customStyle="1" w:styleId="Kop5Char">
    <w:name w:val="Kop 5 Char"/>
    <w:link w:val="Kop5"/>
    <w:uiPriority w:val="99"/>
    <w:semiHidden/>
    <w:locked/>
    <w:rPr>
      <w:rFonts w:ascii="Calibri" w:hAnsi="Calibri" w:cs="Times New Roman"/>
      <w:b/>
      <w:bCs/>
      <w:i/>
      <w:iCs/>
      <w:sz w:val="26"/>
      <w:szCs w:val="26"/>
      <w:lang w:eastAsia="en-US"/>
    </w:rPr>
  </w:style>
  <w:style w:type="character" w:customStyle="1" w:styleId="Kop6Char">
    <w:name w:val="Kop 6 Char"/>
    <w:link w:val="Kop6"/>
    <w:uiPriority w:val="99"/>
    <w:semiHidden/>
    <w:locked/>
    <w:rPr>
      <w:rFonts w:ascii="Calibri" w:hAnsi="Calibri" w:cs="Times New Roman"/>
      <w:b/>
      <w:bCs/>
      <w:lang w:eastAsia="en-US"/>
    </w:rPr>
  </w:style>
  <w:style w:type="table" w:styleId="Tabelraster">
    <w:name w:val="Table Grid"/>
    <w:basedOn w:val="Standaardtabel"/>
    <w:uiPriority w:val="99"/>
    <w:rsid w:val="00A16A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6C4005"/>
    <w:pPr>
      <w:tabs>
        <w:tab w:val="center" w:pos="4536"/>
        <w:tab w:val="right" w:pos="9072"/>
      </w:tabs>
      <w:spacing w:line="240" w:lineRule="auto"/>
    </w:pPr>
  </w:style>
  <w:style w:type="character" w:customStyle="1" w:styleId="KoptekstChar">
    <w:name w:val="Koptekst Char"/>
    <w:link w:val="Koptekst"/>
    <w:uiPriority w:val="99"/>
    <w:locked/>
    <w:rsid w:val="006C4005"/>
    <w:rPr>
      <w:rFonts w:ascii="Verdana" w:hAnsi="Verdana" w:cs="Times New Roman"/>
      <w:sz w:val="18"/>
    </w:rPr>
  </w:style>
  <w:style w:type="paragraph" w:styleId="Voettekst">
    <w:name w:val="footer"/>
    <w:basedOn w:val="Standaard"/>
    <w:link w:val="VoettekstChar"/>
    <w:uiPriority w:val="99"/>
    <w:rsid w:val="006C4005"/>
    <w:pPr>
      <w:tabs>
        <w:tab w:val="center" w:pos="4536"/>
        <w:tab w:val="right" w:pos="9072"/>
      </w:tabs>
      <w:spacing w:line="240" w:lineRule="auto"/>
    </w:pPr>
  </w:style>
  <w:style w:type="character" w:customStyle="1" w:styleId="VoettekstChar">
    <w:name w:val="Voettekst Char"/>
    <w:link w:val="Voettekst"/>
    <w:uiPriority w:val="99"/>
    <w:locked/>
    <w:rsid w:val="006C4005"/>
    <w:rPr>
      <w:rFonts w:ascii="Verdana" w:hAnsi="Verdana" w:cs="Times New Roman"/>
      <w:sz w:val="18"/>
    </w:rPr>
  </w:style>
  <w:style w:type="character" w:styleId="Hyperlink">
    <w:name w:val="Hyperlink"/>
    <w:uiPriority w:val="99"/>
    <w:rsid w:val="004C492F"/>
    <w:rPr>
      <w:rFonts w:cs="Times New Roman"/>
      <w:color w:val="0000FF"/>
      <w:u w:val="single"/>
    </w:rPr>
  </w:style>
  <w:style w:type="character" w:customStyle="1" w:styleId="Onopgelostemelding1">
    <w:name w:val="Onopgeloste melding1"/>
    <w:uiPriority w:val="99"/>
    <w:semiHidden/>
    <w:rsid w:val="004C492F"/>
    <w:rPr>
      <w:rFonts w:cs="Times New Roman"/>
      <w:color w:val="808080"/>
      <w:shd w:val="clear" w:color="auto" w:fill="E6E6E6"/>
    </w:rPr>
  </w:style>
  <w:style w:type="character" w:styleId="Paginanummer">
    <w:name w:val="page number"/>
    <w:uiPriority w:val="99"/>
    <w:rsid w:val="00163676"/>
    <w:rPr>
      <w:rFonts w:cs="Times New Roman"/>
    </w:rPr>
  </w:style>
  <w:style w:type="paragraph" w:styleId="Normaalweb">
    <w:name w:val="Normal (Web)"/>
    <w:basedOn w:val="Standaard"/>
    <w:uiPriority w:val="99"/>
    <w:semiHidden/>
    <w:rsid w:val="00EE5C8C"/>
    <w:pPr>
      <w:spacing w:before="100" w:beforeAutospacing="1" w:after="100" w:afterAutospacing="1" w:line="240" w:lineRule="auto"/>
      <w:jc w:val="left"/>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3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1248</Words>
  <Characters>6867</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aanpassen</dc:creator>
  <cp:keywords/>
  <dc:description/>
  <cp:lastModifiedBy>Martin Mook</cp:lastModifiedBy>
  <cp:revision>3</cp:revision>
  <cp:lastPrinted>2022-06-09T07:52:00Z</cp:lastPrinted>
  <dcterms:created xsi:type="dcterms:W3CDTF">2023-03-08T12:29:00Z</dcterms:created>
  <dcterms:modified xsi:type="dcterms:W3CDTF">2023-04-03T12:44:00Z</dcterms:modified>
</cp:coreProperties>
</file>